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5F4" w:rsidRDefault="006A35F4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b/>
          <w:color w:val="51535C"/>
          <w:szCs w:val="20"/>
          <w:lang w:val="en"/>
        </w:rPr>
      </w:pPr>
      <w:r>
        <w:rPr>
          <w:rFonts w:asciiTheme="minorHAnsi" w:hAnsiTheme="minorHAnsi" w:cstheme="minorHAnsi"/>
          <w:b/>
          <w:noProof/>
          <w:color w:val="51535C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FD252" wp14:editId="00346D1C">
                <wp:simplePos x="0" y="0"/>
                <wp:positionH relativeFrom="column">
                  <wp:posOffset>4126230</wp:posOffset>
                </wp:positionH>
                <wp:positionV relativeFrom="paragraph">
                  <wp:posOffset>-375285</wp:posOffset>
                </wp:positionV>
                <wp:extent cx="2527935" cy="10972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935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5F4" w:rsidRDefault="006A35F4">
                            <w:r>
                              <w:rPr>
                                <w:rFonts w:cstheme="minorHAnsi"/>
                                <w:b/>
                                <w:noProof/>
                                <w:color w:val="51535C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7D76B31E" wp14:editId="4DC286C6">
                                  <wp:extent cx="2202815" cy="946150"/>
                                  <wp:effectExtent l="0" t="0" r="6985" b="6350"/>
                                  <wp:docPr id="1" name="Picture 1" descr="C:\Users\rfjones\AppData\Local\Microsoft\Windows\Temporary Internet Files\Content.Outlook\UYZFM20I\Transparent (2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fjones\AppData\Local\Microsoft\Windows\Temporary Internet Files\Content.Outlook\UYZFM20I\Transparent (2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2815" cy="946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FD2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9pt;margin-top:-29.55pt;width:199.05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" filled="f" stroked="f" strokeweight=".5pt">
                <v:textbox>
                  <w:txbxContent>
                    <w:p w:rsidR="006A35F4" w:rsidRDefault="006A35F4">
                      <w:r>
                        <w:rPr>
                          <w:rFonts w:cstheme="minorHAnsi"/>
                          <w:b/>
                          <w:noProof/>
                          <w:color w:val="51535C"/>
                          <w:szCs w:val="20"/>
                          <w:lang w:eastAsia="en-AU"/>
                        </w:rPr>
                        <w:drawing>
                          <wp:inline distT="0" distB="0" distL="0" distR="0" wp14:anchorId="7D76B31E" wp14:editId="4DC286C6">
                            <wp:extent cx="2202815" cy="946150"/>
                            <wp:effectExtent l="0" t="0" r="6985" b="6350"/>
                            <wp:docPr id="1" name="Picture 1" descr="C:\Users\rfjones\AppData\Local\Microsoft\Windows\Temporary Internet Files\Content.Outlook\UYZFM20I\Transparent (2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fjones\AppData\Local\Microsoft\Windows\Temporary Internet Files\Content.Outlook\UYZFM20I\Transparent (2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2815" cy="946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A35F4" w:rsidRPr="006A35F4" w:rsidRDefault="006A35F4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="Century Gothic" w:hAnsi="Century Gothic" w:cstheme="minorHAnsi"/>
          <w:b/>
          <w:sz w:val="32"/>
          <w:szCs w:val="32"/>
          <w:lang w:val="en"/>
        </w:rPr>
      </w:pPr>
      <w:r w:rsidRPr="006A35F4">
        <w:rPr>
          <w:rFonts w:ascii="Century Gothic" w:hAnsi="Century Gothic" w:cstheme="minorHAnsi"/>
          <w:b/>
          <w:sz w:val="32"/>
          <w:szCs w:val="32"/>
          <w:lang w:val="en"/>
        </w:rPr>
        <w:t>PORTLAND DISTRICT HEALTH</w:t>
      </w:r>
    </w:p>
    <w:p w:rsidR="006A35F4" w:rsidRPr="006A35F4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="Century Gothic" w:hAnsi="Century Gothic" w:cstheme="minorHAnsi"/>
          <w:b/>
          <w:sz w:val="32"/>
          <w:szCs w:val="32"/>
          <w:lang w:val="en"/>
        </w:rPr>
      </w:pPr>
      <w:r w:rsidRPr="006A35F4">
        <w:rPr>
          <w:rFonts w:ascii="Century Gothic" w:hAnsi="Century Gothic" w:cstheme="minorHAnsi"/>
          <w:b/>
          <w:sz w:val="32"/>
          <w:szCs w:val="32"/>
          <w:lang w:val="en"/>
        </w:rPr>
        <w:t xml:space="preserve">Annual Procurement Activity Plan </w:t>
      </w:r>
    </w:p>
    <w:p w:rsidR="007B36AF" w:rsidRPr="006A35F4" w:rsidRDefault="00144BD5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="Century Gothic" w:hAnsi="Century Gothic" w:cstheme="minorHAnsi"/>
          <w:b/>
          <w:sz w:val="32"/>
          <w:szCs w:val="32"/>
          <w:lang w:val="en"/>
        </w:rPr>
      </w:pPr>
      <w:r>
        <w:rPr>
          <w:rFonts w:ascii="Century Gothic" w:hAnsi="Century Gothic" w:cstheme="minorHAnsi"/>
          <w:b/>
          <w:sz w:val="32"/>
          <w:szCs w:val="32"/>
          <w:lang w:val="en"/>
        </w:rPr>
        <w:t>2020 - 2021</w:t>
      </w:r>
    </w:p>
    <w:p w:rsidR="007B36AF" w:rsidRPr="006A35F4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</w:p>
    <w:p w:rsidR="007B36AF" w:rsidRPr="006A35F4" w:rsidRDefault="006A35F4" w:rsidP="006A35F4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="Century Gothic" w:hAnsi="Century Gothic" w:cstheme="minorHAnsi"/>
          <w:sz w:val="20"/>
          <w:szCs w:val="20"/>
          <w:lang w:val="en"/>
        </w:rPr>
      </w:pPr>
      <w:r w:rsidRPr="006A35F4">
        <w:rPr>
          <w:rFonts w:ascii="Century Gothic" w:hAnsi="Century Gothic" w:cstheme="minorHAnsi"/>
          <w:sz w:val="20"/>
          <w:szCs w:val="20"/>
          <w:lang w:val="en"/>
        </w:rPr>
        <w:t xml:space="preserve">Portland District Health </w:t>
      </w:r>
      <w:r w:rsidR="007B36AF" w:rsidRPr="006A35F4">
        <w:rPr>
          <w:rFonts w:ascii="Century Gothic" w:hAnsi="Century Gothic" w:cstheme="minorHAnsi"/>
          <w:sz w:val="20"/>
          <w:szCs w:val="20"/>
          <w:lang w:val="en"/>
        </w:rPr>
        <w:t>are looking to develop long term partnerships</w:t>
      </w:r>
      <w:r w:rsidRPr="006A35F4">
        <w:rPr>
          <w:rFonts w:ascii="Century Gothic" w:hAnsi="Century Gothic" w:cstheme="minorHAnsi"/>
          <w:sz w:val="20"/>
          <w:szCs w:val="20"/>
          <w:lang w:val="en"/>
        </w:rPr>
        <w:t xml:space="preserve"> </w:t>
      </w:r>
      <w:r w:rsidR="007B36AF" w:rsidRPr="006A35F4">
        <w:rPr>
          <w:rFonts w:ascii="Century Gothic" w:hAnsi="Century Gothic" w:cstheme="minorHAnsi"/>
          <w:sz w:val="20"/>
          <w:szCs w:val="20"/>
          <w:lang w:val="en"/>
        </w:rPr>
        <w:t>with suppliers that are adaptable and innovative, who take accountability, and who can help deliver real and lasting value.</w:t>
      </w:r>
    </w:p>
    <w:p w:rsidR="007B36AF" w:rsidRPr="006A35F4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="Century Gothic" w:hAnsi="Century Gothic" w:cstheme="minorHAnsi"/>
          <w:sz w:val="20"/>
          <w:szCs w:val="20"/>
          <w:lang w:val="en"/>
        </w:rPr>
      </w:pPr>
    </w:p>
    <w:p w:rsidR="004F6329" w:rsidRPr="006A35F4" w:rsidRDefault="004F6329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="Century Gothic" w:hAnsi="Century Gothic" w:cstheme="minorHAnsi"/>
          <w:sz w:val="20"/>
          <w:szCs w:val="20"/>
          <w:lang w:val="en"/>
        </w:rPr>
      </w:pPr>
      <w:r w:rsidRPr="006A35F4">
        <w:rPr>
          <w:rFonts w:ascii="Century Gothic" w:hAnsi="Century Gothic" w:cstheme="minorHAnsi"/>
          <w:sz w:val="20"/>
          <w:szCs w:val="20"/>
          <w:lang w:val="en"/>
        </w:rPr>
        <w:t xml:space="preserve">To effectively and efficiently procure goods and services across the organisation to obtain the best value for money and economies of scale, </w:t>
      </w:r>
      <w:r w:rsidR="006A35F4" w:rsidRPr="006A35F4">
        <w:rPr>
          <w:rFonts w:ascii="Century Gothic" w:hAnsi="Century Gothic" w:cstheme="minorHAnsi"/>
          <w:sz w:val="20"/>
          <w:szCs w:val="20"/>
          <w:lang w:val="en"/>
        </w:rPr>
        <w:t>Portland District Health</w:t>
      </w:r>
      <w:r w:rsidRPr="006A35F4">
        <w:rPr>
          <w:rFonts w:ascii="Century Gothic" w:hAnsi="Century Gothic" w:cstheme="minorHAnsi"/>
          <w:sz w:val="20"/>
          <w:szCs w:val="20"/>
          <w:lang w:val="en"/>
        </w:rPr>
        <w:t xml:space="preserve">'s procurement activity </w:t>
      </w:r>
      <w:r w:rsidR="00851D5E" w:rsidRPr="006A35F4">
        <w:rPr>
          <w:rFonts w:ascii="Century Gothic" w:hAnsi="Century Gothic" w:cstheme="minorHAnsi"/>
          <w:sz w:val="20"/>
          <w:szCs w:val="20"/>
          <w:lang w:val="en"/>
        </w:rPr>
        <w:t xml:space="preserve">plan </w:t>
      </w:r>
      <w:r w:rsidRPr="006A35F4">
        <w:rPr>
          <w:rFonts w:ascii="Century Gothic" w:hAnsi="Century Gothic" w:cstheme="minorHAnsi"/>
          <w:sz w:val="20"/>
          <w:szCs w:val="20"/>
          <w:lang w:val="en"/>
        </w:rPr>
        <w:t>is aligned to its priorities and strategies.</w:t>
      </w:r>
    </w:p>
    <w:p w:rsidR="004F6329" w:rsidRPr="006A35F4" w:rsidRDefault="004F6329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="Century Gothic" w:hAnsi="Century Gothic" w:cstheme="minorHAnsi"/>
          <w:sz w:val="20"/>
          <w:szCs w:val="20"/>
          <w:lang w:val="en"/>
        </w:rPr>
      </w:pPr>
    </w:p>
    <w:p w:rsidR="007B36AF" w:rsidRPr="006A35F4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="Century Gothic" w:hAnsi="Century Gothic" w:cstheme="minorHAnsi"/>
          <w:sz w:val="20"/>
          <w:szCs w:val="20"/>
          <w:lang w:val="en"/>
        </w:rPr>
      </w:pPr>
      <w:r w:rsidRPr="006A35F4">
        <w:rPr>
          <w:rFonts w:ascii="Century Gothic" w:hAnsi="Century Gothic" w:cstheme="minorHAnsi"/>
          <w:sz w:val="20"/>
          <w:szCs w:val="20"/>
          <w:lang w:val="en"/>
        </w:rPr>
        <w:t xml:space="preserve">When sourcing goods and services from the market, </w:t>
      </w:r>
      <w:r w:rsidR="006A35F4" w:rsidRPr="006A35F4">
        <w:rPr>
          <w:rFonts w:ascii="Century Gothic" w:hAnsi="Century Gothic" w:cstheme="minorHAnsi"/>
          <w:sz w:val="20"/>
          <w:szCs w:val="20"/>
          <w:lang w:val="en"/>
        </w:rPr>
        <w:t>Portland District Health</w:t>
      </w:r>
      <w:r w:rsidR="004F6329" w:rsidRPr="006A35F4">
        <w:rPr>
          <w:rFonts w:ascii="Century Gothic" w:hAnsi="Century Gothic" w:cstheme="minorHAnsi"/>
          <w:sz w:val="20"/>
          <w:szCs w:val="20"/>
          <w:lang w:val="en"/>
        </w:rPr>
        <w:t xml:space="preserve"> </w:t>
      </w:r>
      <w:r w:rsidRPr="006A35F4">
        <w:rPr>
          <w:rFonts w:ascii="Century Gothic" w:hAnsi="Century Gothic" w:cstheme="minorHAnsi"/>
          <w:sz w:val="20"/>
          <w:szCs w:val="20"/>
          <w:lang w:val="en"/>
        </w:rPr>
        <w:t>are committed to open, fair, and transparent sourcing processes.</w:t>
      </w:r>
    </w:p>
    <w:p w:rsidR="007B36AF" w:rsidRPr="006A35F4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="Century Gothic" w:hAnsi="Century Gothic" w:cstheme="minorHAnsi"/>
          <w:sz w:val="20"/>
          <w:szCs w:val="20"/>
          <w:lang w:val="en"/>
        </w:rPr>
      </w:pPr>
    </w:p>
    <w:p w:rsidR="007B36AF" w:rsidRPr="006A35F4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="Century Gothic" w:hAnsi="Century Gothic" w:cstheme="minorHAnsi"/>
          <w:sz w:val="20"/>
          <w:szCs w:val="20"/>
          <w:lang w:val="en"/>
        </w:rPr>
      </w:pPr>
      <w:r w:rsidRPr="006A35F4">
        <w:rPr>
          <w:rFonts w:ascii="Century Gothic" w:hAnsi="Century Gothic" w:cstheme="minorHAnsi"/>
          <w:sz w:val="20"/>
          <w:szCs w:val="20"/>
          <w:lang w:val="en"/>
        </w:rPr>
        <w:t xml:space="preserve">This annual </w:t>
      </w:r>
      <w:r w:rsidR="00851D5E" w:rsidRPr="006A35F4">
        <w:rPr>
          <w:rFonts w:ascii="Century Gothic" w:hAnsi="Century Gothic" w:cstheme="minorHAnsi"/>
          <w:sz w:val="20"/>
          <w:szCs w:val="20"/>
          <w:lang w:val="en"/>
        </w:rPr>
        <w:t>Procurement Activity P</w:t>
      </w:r>
      <w:r w:rsidRPr="006A35F4">
        <w:rPr>
          <w:rFonts w:ascii="Century Gothic" w:hAnsi="Century Gothic" w:cstheme="minorHAnsi"/>
          <w:sz w:val="20"/>
          <w:szCs w:val="20"/>
          <w:lang w:val="en"/>
        </w:rPr>
        <w:t>lan provides a summary of the major procurement activities in the non-salary area of organisational expenditure</w:t>
      </w:r>
      <w:r w:rsidR="004F6329" w:rsidRPr="006A35F4">
        <w:rPr>
          <w:rFonts w:ascii="Century Gothic" w:hAnsi="Century Gothic" w:cstheme="minorHAnsi"/>
          <w:sz w:val="20"/>
          <w:szCs w:val="20"/>
          <w:lang w:val="en"/>
        </w:rPr>
        <w:t xml:space="preserve"> and provides </w:t>
      </w:r>
      <w:r w:rsidRPr="006A35F4">
        <w:rPr>
          <w:rFonts w:ascii="Century Gothic" w:hAnsi="Century Gothic" w:cstheme="minorHAnsi"/>
          <w:sz w:val="20"/>
          <w:szCs w:val="20"/>
          <w:lang w:val="en"/>
        </w:rPr>
        <w:t xml:space="preserve">potential suppliers advance knowledge of the </w:t>
      </w:r>
      <w:r w:rsidR="00851D5E" w:rsidRPr="006A35F4">
        <w:rPr>
          <w:rFonts w:ascii="Century Gothic" w:hAnsi="Century Gothic" w:cstheme="minorHAnsi"/>
          <w:sz w:val="20"/>
          <w:szCs w:val="20"/>
          <w:lang w:val="en"/>
        </w:rPr>
        <w:t>l</w:t>
      </w:r>
      <w:r w:rsidR="004F6329" w:rsidRPr="006A35F4">
        <w:rPr>
          <w:rFonts w:ascii="Century Gothic" w:hAnsi="Century Gothic" w:cstheme="minorHAnsi"/>
          <w:sz w:val="20"/>
          <w:szCs w:val="20"/>
          <w:lang w:val="en"/>
        </w:rPr>
        <w:t xml:space="preserve">ikely procurements </w:t>
      </w:r>
      <w:r w:rsidR="00851D5E" w:rsidRPr="006A35F4">
        <w:rPr>
          <w:rFonts w:ascii="Century Gothic" w:hAnsi="Century Gothic" w:cstheme="minorHAnsi"/>
          <w:sz w:val="20"/>
          <w:szCs w:val="20"/>
          <w:lang w:val="en"/>
        </w:rPr>
        <w:t xml:space="preserve">in </w:t>
      </w:r>
      <w:r w:rsidRPr="006A35F4">
        <w:rPr>
          <w:rFonts w:ascii="Century Gothic" w:hAnsi="Century Gothic" w:cstheme="minorHAnsi"/>
          <w:sz w:val="20"/>
          <w:szCs w:val="20"/>
          <w:lang w:val="en"/>
        </w:rPr>
        <w:t>this financial year.</w:t>
      </w:r>
    </w:p>
    <w:p w:rsidR="004F6329" w:rsidRPr="006A35F4" w:rsidRDefault="004F6329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="Century Gothic" w:hAnsi="Century Gothic" w:cstheme="minorHAnsi"/>
          <w:sz w:val="20"/>
          <w:szCs w:val="20"/>
          <w:lang w:val="en"/>
        </w:rPr>
      </w:pPr>
    </w:p>
    <w:p w:rsidR="007B36AF" w:rsidRPr="006A35F4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="Century Gothic" w:hAnsi="Century Gothic" w:cstheme="minorHAnsi"/>
          <w:sz w:val="20"/>
          <w:szCs w:val="20"/>
          <w:lang w:val="en"/>
        </w:rPr>
      </w:pPr>
      <w:r w:rsidRPr="006A35F4">
        <w:rPr>
          <w:rFonts w:ascii="Century Gothic" w:hAnsi="Century Gothic" w:cstheme="minorHAnsi"/>
          <w:sz w:val="20"/>
          <w:szCs w:val="20"/>
          <w:lang w:val="en"/>
        </w:rPr>
        <w:t xml:space="preserve">The annual </w:t>
      </w:r>
      <w:r w:rsidR="00851D5E" w:rsidRPr="006A35F4">
        <w:rPr>
          <w:rFonts w:ascii="Century Gothic" w:hAnsi="Century Gothic" w:cstheme="minorHAnsi"/>
          <w:sz w:val="20"/>
          <w:szCs w:val="20"/>
          <w:lang w:val="en"/>
        </w:rPr>
        <w:t>Procurement Activity Plan</w:t>
      </w:r>
      <w:r w:rsidRPr="006A35F4">
        <w:rPr>
          <w:rFonts w:ascii="Century Gothic" w:hAnsi="Century Gothic" w:cstheme="minorHAnsi"/>
          <w:sz w:val="20"/>
          <w:szCs w:val="20"/>
          <w:lang w:val="en"/>
        </w:rPr>
        <w:t xml:space="preserve"> will be reviewed and updated </w:t>
      </w:r>
      <w:r w:rsidR="004F6329" w:rsidRPr="006A35F4">
        <w:rPr>
          <w:rFonts w:ascii="Century Gothic" w:hAnsi="Century Gothic" w:cstheme="minorHAnsi"/>
          <w:sz w:val="20"/>
          <w:szCs w:val="20"/>
          <w:lang w:val="en"/>
        </w:rPr>
        <w:t>as required</w:t>
      </w:r>
      <w:r w:rsidRPr="006A35F4">
        <w:rPr>
          <w:rFonts w:ascii="Century Gothic" w:hAnsi="Century Gothic" w:cstheme="minorHAnsi"/>
          <w:sz w:val="20"/>
          <w:szCs w:val="20"/>
          <w:lang w:val="en"/>
        </w:rPr>
        <w:t>, based on the best information available at the time of publication.</w:t>
      </w:r>
    </w:p>
    <w:p w:rsidR="006A35F4" w:rsidRPr="006A35F4" w:rsidRDefault="006A35F4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</w:p>
    <w:tbl>
      <w:tblPr>
        <w:tblStyle w:val="TableGrid"/>
        <w:tblW w:w="11057" w:type="dxa"/>
        <w:tblInd w:w="-743" w:type="dxa"/>
        <w:tblLook w:val="04A0" w:firstRow="1" w:lastRow="0" w:firstColumn="1" w:lastColumn="0" w:noHBand="0" w:noVBand="1"/>
      </w:tblPr>
      <w:tblGrid>
        <w:gridCol w:w="2552"/>
        <w:gridCol w:w="3544"/>
        <w:gridCol w:w="2977"/>
        <w:gridCol w:w="1984"/>
      </w:tblGrid>
      <w:tr w:rsidR="006A35F4" w:rsidRPr="006A35F4" w:rsidTr="006A35F4">
        <w:tc>
          <w:tcPr>
            <w:tcW w:w="2552" w:type="dxa"/>
            <w:shd w:val="clear" w:color="auto" w:fill="D3F1F7" w:themeFill="accent5" w:themeFillTint="33"/>
          </w:tcPr>
          <w:p w:rsidR="006A35F4" w:rsidRPr="006A35F4" w:rsidRDefault="006A35F4" w:rsidP="006A35F4">
            <w:pPr>
              <w:rPr>
                <w:rFonts w:ascii="Century Gothic" w:eastAsia="Calibri" w:hAnsi="Century Gothic"/>
                <w:b/>
                <w:sz w:val="20"/>
                <w:szCs w:val="20"/>
              </w:rPr>
            </w:pPr>
            <w:r w:rsidRPr="006A35F4">
              <w:rPr>
                <w:rFonts w:ascii="Century Gothic" w:eastAsia="Calibri" w:hAnsi="Century Gothic"/>
                <w:b/>
                <w:sz w:val="20"/>
                <w:szCs w:val="20"/>
              </w:rPr>
              <w:t>CATEGORY</w:t>
            </w:r>
          </w:p>
        </w:tc>
        <w:tc>
          <w:tcPr>
            <w:tcW w:w="3544" w:type="dxa"/>
            <w:shd w:val="clear" w:color="auto" w:fill="D3F1F7" w:themeFill="accent5" w:themeFillTint="33"/>
          </w:tcPr>
          <w:p w:rsidR="006A35F4" w:rsidRPr="006A35F4" w:rsidRDefault="006A35F4" w:rsidP="006A35F4">
            <w:pPr>
              <w:rPr>
                <w:rFonts w:ascii="Century Gothic" w:eastAsia="Calibri" w:hAnsi="Century Gothic"/>
                <w:b/>
                <w:sz w:val="20"/>
                <w:szCs w:val="20"/>
              </w:rPr>
            </w:pPr>
            <w:r w:rsidRPr="006A35F4">
              <w:rPr>
                <w:rFonts w:ascii="Century Gothic" w:eastAsia="Calibri" w:hAnsi="Century Gothic"/>
                <w:b/>
                <w:sz w:val="20"/>
                <w:szCs w:val="20"/>
              </w:rPr>
              <w:t>DESCRIPTION</w:t>
            </w:r>
          </w:p>
        </w:tc>
        <w:tc>
          <w:tcPr>
            <w:tcW w:w="2977" w:type="dxa"/>
            <w:shd w:val="clear" w:color="auto" w:fill="D3F1F7" w:themeFill="accent5" w:themeFillTint="33"/>
          </w:tcPr>
          <w:p w:rsidR="006A35F4" w:rsidRPr="006A35F4" w:rsidRDefault="006A35F4" w:rsidP="006A35F4">
            <w:pPr>
              <w:rPr>
                <w:rFonts w:ascii="Century Gothic" w:eastAsia="Calibri" w:hAnsi="Century Gothic"/>
                <w:b/>
                <w:sz w:val="20"/>
                <w:szCs w:val="20"/>
              </w:rPr>
            </w:pPr>
            <w:r w:rsidRPr="006A35F4">
              <w:rPr>
                <w:rFonts w:ascii="Century Gothic" w:eastAsia="Calibri" w:hAnsi="Century Gothic"/>
                <w:b/>
                <w:sz w:val="20"/>
                <w:szCs w:val="20"/>
              </w:rPr>
              <w:t>CONTACT PERSON</w:t>
            </w:r>
          </w:p>
        </w:tc>
        <w:tc>
          <w:tcPr>
            <w:tcW w:w="1984" w:type="dxa"/>
            <w:shd w:val="clear" w:color="auto" w:fill="D3F1F7" w:themeFill="accent5" w:themeFillTint="33"/>
          </w:tcPr>
          <w:p w:rsidR="006A35F4" w:rsidRPr="006A35F4" w:rsidRDefault="006A35F4" w:rsidP="006A35F4">
            <w:pPr>
              <w:rPr>
                <w:rFonts w:ascii="Century Gothic" w:eastAsia="Calibri" w:hAnsi="Century Gothic"/>
                <w:b/>
                <w:sz w:val="20"/>
                <w:szCs w:val="20"/>
              </w:rPr>
            </w:pPr>
            <w:r w:rsidRPr="006A35F4">
              <w:rPr>
                <w:rFonts w:ascii="Century Gothic" w:eastAsia="Calibri" w:hAnsi="Century Gothic"/>
                <w:b/>
                <w:sz w:val="20"/>
                <w:szCs w:val="20"/>
              </w:rPr>
              <w:t>ESTIMATED QUARTER</w:t>
            </w:r>
          </w:p>
        </w:tc>
      </w:tr>
      <w:tr w:rsidR="006A35F4" w:rsidRPr="006A35F4" w:rsidTr="006A3F3F">
        <w:tc>
          <w:tcPr>
            <w:tcW w:w="2552" w:type="dxa"/>
          </w:tcPr>
          <w:p w:rsidR="006A35F4" w:rsidRPr="006A35F4" w:rsidRDefault="006A35F4" w:rsidP="006A35F4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6A35F4">
              <w:rPr>
                <w:rFonts w:ascii="Century Gothic" w:eastAsia="Calibri" w:hAnsi="Century Gothic"/>
                <w:sz w:val="20"/>
                <w:szCs w:val="20"/>
              </w:rPr>
              <w:t>Facilities Management Services</w:t>
            </w:r>
          </w:p>
        </w:tc>
        <w:tc>
          <w:tcPr>
            <w:tcW w:w="3544" w:type="dxa"/>
          </w:tcPr>
          <w:p w:rsidR="006A35F4" w:rsidRDefault="006A35F4" w:rsidP="006A35F4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6A35F4">
              <w:rPr>
                <w:rFonts w:ascii="Century Gothic" w:eastAsia="Calibri" w:hAnsi="Century Gothic"/>
                <w:sz w:val="20"/>
                <w:szCs w:val="20"/>
              </w:rPr>
              <w:t>Grounds Maintenance</w:t>
            </w:r>
          </w:p>
          <w:p w:rsidR="00473EBC" w:rsidRDefault="00473EBC" w:rsidP="006A35F4">
            <w:pPr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Security</w:t>
            </w:r>
          </w:p>
          <w:p w:rsidR="00262F08" w:rsidRPr="006A35F4" w:rsidRDefault="00262F08" w:rsidP="006A35F4">
            <w:pPr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2977" w:type="dxa"/>
          </w:tcPr>
          <w:p w:rsidR="006A35F4" w:rsidRPr="006A35F4" w:rsidRDefault="006A35F4" w:rsidP="006A35F4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6A35F4">
              <w:rPr>
                <w:rFonts w:ascii="Century Gothic" w:eastAsia="Calibri" w:hAnsi="Century Gothic"/>
                <w:sz w:val="20"/>
                <w:szCs w:val="20"/>
              </w:rPr>
              <w:t>Chief Procurement Officer</w:t>
            </w:r>
          </w:p>
        </w:tc>
        <w:tc>
          <w:tcPr>
            <w:tcW w:w="1984" w:type="dxa"/>
          </w:tcPr>
          <w:p w:rsidR="006A35F4" w:rsidRPr="006A35F4" w:rsidRDefault="00144BD5" w:rsidP="00144BD5">
            <w:pPr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Q3</w:t>
            </w:r>
            <w:r w:rsidR="003C7106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eastAsia="Calibri" w:hAnsi="Century Gothic"/>
                <w:sz w:val="20"/>
                <w:szCs w:val="20"/>
              </w:rPr>
              <w:t>20/21</w:t>
            </w:r>
          </w:p>
        </w:tc>
      </w:tr>
      <w:tr w:rsidR="006A35F4" w:rsidRPr="006A35F4" w:rsidTr="006A3F3F">
        <w:tc>
          <w:tcPr>
            <w:tcW w:w="2552" w:type="dxa"/>
          </w:tcPr>
          <w:p w:rsidR="006A35F4" w:rsidRPr="006A35F4" w:rsidRDefault="006A35F4" w:rsidP="006A35F4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6A35F4">
              <w:rPr>
                <w:rFonts w:ascii="Century Gothic" w:eastAsia="Calibri" w:hAnsi="Century Gothic"/>
                <w:sz w:val="20"/>
                <w:szCs w:val="20"/>
              </w:rPr>
              <w:t>Non-clinical support services</w:t>
            </w:r>
          </w:p>
        </w:tc>
        <w:tc>
          <w:tcPr>
            <w:tcW w:w="3544" w:type="dxa"/>
          </w:tcPr>
          <w:p w:rsidR="006A35F4" w:rsidRPr="006A35F4" w:rsidRDefault="006A35F4" w:rsidP="006A35F4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6A35F4">
              <w:rPr>
                <w:rFonts w:ascii="Century Gothic" w:eastAsia="Calibri" w:hAnsi="Century Gothic"/>
                <w:sz w:val="20"/>
                <w:szCs w:val="20"/>
              </w:rPr>
              <w:t>Printing Services</w:t>
            </w:r>
          </w:p>
          <w:p w:rsidR="006A35F4" w:rsidRPr="006A35F4" w:rsidRDefault="006A35F4" w:rsidP="006A35F4">
            <w:pPr>
              <w:numPr>
                <w:ilvl w:val="0"/>
                <w:numId w:val="1"/>
              </w:numPr>
              <w:contextualSpacing/>
              <w:rPr>
                <w:rFonts w:ascii="Century Gothic" w:eastAsia="Calibri" w:hAnsi="Century Gothic"/>
                <w:sz w:val="20"/>
                <w:szCs w:val="20"/>
              </w:rPr>
            </w:pPr>
            <w:r w:rsidRPr="006A35F4">
              <w:rPr>
                <w:rFonts w:ascii="Century Gothic" w:eastAsia="Calibri" w:hAnsi="Century Gothic"/>
                <w:sz w:val="20"/>
                <w:szCs w:val="20"/>
              </w:rPr>
              <w:t>Annual Report</w:t>
            </w:r>
          </w:p>
          <w:p w:rsidR="006A35F4" w:rsidRPr="006A35F4" w:rsidRDefault="006A35F4" w:rsidP="006A35F4">
            <w:pPr>
              <w:numPr>
                <w:ilvl w:val="0"/>
                <w:numId w:val="1"/>
              </w:numPr>
              <w:contextualSpacing/>
              <w:rPr>
                <w:rFonts w:ascii="Century Gothic" w:eastAsia="Calibri" w:hAnsi="Century Gothic"/>
                <w:sz w:val="20"/>
                <w:szCs w:val="20"/>
              </w:rPr>
            </w:pPr>
            <w:r w:rsidRPr="006A35F4">
              <w:rPr>
                <w:rFonts w:ascii="Century Gothic" w:eastAsia="Calibri" w:hAnsi="Century Gothic"/>
                <w:sz w:val="20"/>
                <w:szCs w:val="20"/>
              </w:rPr>
              <w:t xml:space="preserve">Quality of Care Report </w:t>
            </w:r>
          </w:p>
          <w:p w:rsidR="006A35F4" w:rsidRPr="006A35F4" w:rsidRDefault="006A35F4" w:rsidP="006A35F4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6A35F4">
              <w:rPr>
                <w:rFonts w:ascii="Century Gothic" w:eastAsia="Calibri" w:hAnsi="Century Gothic"/>
                <w:sz w:val="20"/>
                <w:szCs w:val="20"/>
              </w:rPr>
              <w:t>Payroll</w:t>
            </w:r>
          </w:p>
          <w:p w:rsidR="006A35F4" w:rsidRPr="006A35F4" w:rsidRDefault="006A35F4" w:rsidP="006A35F4">
            <w:pPr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2977" w:type="dxa"/>
          </w:tcPr>
          <w:p w:rsidR="006A35F4" w:rsidRPr="006A35F4" w:rsidRDefault="006A35F4" w:rsidP="006A35F4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6A35F4">
              <w:rPr>
                <w:rFonts w:ascii="Century Gothic" w:eastAsia="Calibri" w:hAnsi="Century Gothic"/>
                <w:sz w:val="20"/>
                <w:szCs w:val="20"/>
              </w:rPr>
              <w:t>Chief Procurement Officer</w:t>
            </w:r>
          </w:p>
        </w:tc>
        <w:tc>
          <w:tcPr>
            <w:tcW w:w="1984" w:type="dxa"/>
          </w:tcPr>
          <w:p w:rsidR="006A35F4" w:rsidRPr="006A35F4" w:rsidRDefault="006A35F4" w:rsidP="006A35F4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6A35F4">
              <w:rPr>
                <w:rFonts w:ascii="Century Gothic" w:eastAsia="Calibri" w:hAnsi="Century Gothic"/>
                <w:sz w:val="20"/>
                <w:szCs w:val="20"/>
              </w:rPr>
              <w:t xml:space="preserve">Q1 </w:t>
            </w:r>
            <w:r w:rsidR="00144BD5">
              <w:rPr>
                <w:rFonts w:ascii="Century Gothic" w:eastAsia="Calibri" w:hAnsi="Century Gothic"/>
                <w:sz w:val="20"/>
                <w:szCs w:val="20"/>
              </w:rPr>
              <w:t>21/22</w:t>
            </w:r>
          </w:p>
          <w:p w:rsidR="006A35F4" w:rsidRPr="006A35F4" w:rsidRDefault="006A35F4" w:rsidP="006A35F4">
            <w:pPr>
              <w:rPr>
                <w:rFonts w:ascii="Century Gothic" w:eastAsia="Calibri" w:hAnsi="Century Gothic"/>
                <w:sz w:val="20"/>
                <w:szCs w:val="20"/>
              </w:rPr>
            </w:pPr>
          </w:p>
          <w:p w:rsidR="006A35F4" w:rsidRPr="006A35F4" w:rsidRDefault="006A35F4" w:rsidP="006A35F4">
            <w:pPr>
              <w:rPr>
                <w:rFonts w:ascii="Century Gothic" w:eastAsia="Calibri" w:hAnsi="Century Gothic"/>
                <w:sz w:val="20"/>
                <w:szCs w:val="20"/>
              </w:rPr>
            </w:pPr>
          </w:p>
          <w:p w:rsidR="006A35F4" w:rsidRPr="006A35F4" w:rsidRDefault="00D60FB4" w:rsidP="00144BD5">
            <w:pPr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Q1</w:t>
            </w:r>
            <w:r w:rsidR="006A35F4" w:rsidRPr="006A35F4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  <w:r w:rsidR="00144BD5">
              <w:rPr>
                <w:rFonts w:ascii="Century Gothic" w:eastAsia="Calibri" w:hAnsi="Century Gothic"/>
                <w:sz w:val="20"/>
                <w:szCs w:val="20"/>
              </w:rPr>
              <w:t>21/22</w:t>
            </w:r>
          </w:p>
        </w:tc>
      </w:tr>
      <w:tr w:rsidR="006A35F4" w:rsidRPr="006A35F4" w:rsidTr="006A3F3F">
        <w:tc>
          <w:tcPr>
            <w:tcW w:w="2552" w:type="dxa"/>
          </w:tcPr>
          <w:p w:rsidR="006A35F4" w:rsidRPr="006A35F4" w:rsidRDefault="006A35F4" w:rsidP="006A35F4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6A35F4">
              <w:rPr>
                <w:rFonts w:ascii="Century Gothic" w:eastAsia="Calibri" w:hAnsi="Century Gothic"/>
                <w:sz w:val="20"/>
                <w:szCs w:val="20"/>
              </w:rPr>
              <w:t>Clinical Support Supplies</w:t>
            </w:r>
          </w:p>
        </w:tc>
        <w:tc>
          <w:tcPr>
            <w:tcW w:w="3544" w:type="dxa"/>
          </w:tcPr>
          <w:p w:rsidR="006A35F4" w:rsidRPr="006A35F4" w:rsidRDefault="006A35F4" w:rsidP="006A35F4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6A35F4">
              <w:rPr>
                <w:rFonts w:ascii="Century Gothic" w:eastAsia="Calibri" w:hAnsi="Century Gothic"/>
                <w:sz w:val="20"/>
                <w:szCs w:val="20"/>
              </w:rPr>
              <w:t>Meat and Poultry Products</w:t>
            </w:r>
          </w:p>
          <w:p w:rsidR="006A35F4" w:rsidRPr="006A35F4" w:rsidRDefault="006A35F4" w:rsidP="006A35F4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6A35F4">
              <w:rPr>
                <w:rFonts w:ascii="Century Gothic" w:eastAsia="Calibri" w:hAnsi="Century Gothic"/>
                <w:sz w:val="20"/>
                <w:szCs w:val="20"/>
              </w:rPr>
              <w:t>Fresh Fruit &amp; Vegetables</w:t>
            </w:r>
          </w:p>
          <w:p w:rsidR="006A35F4" w:rsidRPr="006A35F4" w:rsidRDefault="006A35F4" w:rsidP="006A35F4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6A35F4">
              <w:rPr>
                <w:rFonts w:ascii="Century Gothic" w:eastAsia="Calibri" w:hAnsi="Century Gothic"/>
                <w:sz w:val="20"/>
                <w:szCs w:val="20"/>
              </w:rPr>
              <w:t>Bread &amp; Bakery</w:t>
            </w:r>
          </w:p>
          <w:p w:rsidR="006A35F4" w:rsidRPr="006A35F4" w:rsidRDefault="006A35F4" w:rsidP="006A35F4">
            <w:pPr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2977" w:type="dxa"/>
          </w:tcPr>
          <w:p w:rsidR="006A35F4" w:rsidRPr="006A35F4" w:rsidRDefault="006A35F4" w:rsidP="006A35F4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6A35F4">
              <w:rPr>
                <w:rFonts w:ascii="Century Gothic" w:eastAsia="Calibri" w:hAnsi="Century Gothic"/>
                <w:sz w:val="20"/>
                <w:szCs w:val="20"/>
              </w:rPr>
              <w:t>Chief Procurement Officer</w:t>
            </w:r>
          </w:p>
        </w:tc>
        <w:tc>
          <w:tcPr>
            <w:tcW w:w="1984" w:type="dxa"/>
          </w:tcPr>
          <w:p w:rsidR="006A35F4" w:rsidRPr="006A35F4" w:rsidRDefault="00144BD5" w:rsidP="006A35F4">
            <w:pPr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Q3 20 / 21</w:t>
            </w:r>
          </w:p>
        </w:tc>
      </w:tr>
      <w:tr w:rsidR="006A35F4" w:rsidRPr="006A35F4" w:rsidTr="006A3F3F">
        <w:tc>
          <w:tcPr>
            <w:tcW w:w="2552" w:type="dxa"/>
          </w:tcPr>
          <w:p w:rsidR="006A35F4" w:rsidRPr="006A35F4" w:rsidRDefault="006A35F4" w:rsidP="006A35F4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6A35F4">
              <w:rPr>
                <w:rFonts w:ascii="Century Gothic" w:eastAsia="Calibri" w:hAnsi="Century Gothic"/>
                <w:sz w:val="20"/>
                <w:szCs w:val="20"/>
              </w:rPr>
              <w:t>Building related works</w:t>
            </w:r>
          </w:p>
        </w:tc>
        <w:tc>
          <w:tcPr>
            <w:tcW w:w="3544" w:type="dxa"/>
          </w:tcPr>
          <w:p w:rsidR="00D60FB4" w:rsidRPr="006A35F4" w:rsidRDefault="00D60FB4" w:rsidP="006A35F4">
            <w:pPr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Carpet replacement</w:t>
            </w:r>
          </w:p>
          <w:p w:rsidR="006A35F4" w:rsidRPr="006A35F4" w:rsidRDefault="006A35F4" w:rsidP="006A35F4">
            <w:pPr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2977" w:type="dxa"/>
          </w:tcPr>
          <w:p w:rsidR="006A35F4" w:rsidRPr="006A35F4" w:rsidRDefault="006A35F4" w:rsidP="006A35F4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6A35F4">
              <w:rPr>
                <w:rFonts w:ascii="Century Gothic" w:eastAsia="Calibri" w:hAnsi="Century Gothic"/>
                <w:sz w:val="20"/>
                <w:szCs w:val="20"/>
              </w:rPr>
              <w:t>Chief Procurement Officer</w:t>
            </w:r>
          </w:p>
        </w:tc>
        <w:tc>
          <w:tcPr>
            <w:tcW w:w="1984" w:type="dxa"/>
          </w:tcPr>
          <w:p w:rsidR="00D60FB4" w:rsidRPr="006A35F4" w:rsidRDefault="00D60FB4" w:rsidP="00144BD5">
            <w:pPr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Q</w:t>
            </w:r>
            <w:r w:rsidR="00144BD5">
              <w:rPr>
                <w:rFonts w:ascii="Century Gothic" w:eastAsia="Calibri" w:hAnsi="Century Gothic"/>
                <w:sz w:val="20"/>
                <w:szCs w:val="20"/>
              </w:rPr>
              <w:t>3</w:t>
            </w:r>
            <w:r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  <w:r w:rsidR="003C7106">
              <w:rPr>
                <w:rFonts w:ascii="Century Gothic" w:eastAsia="Calibri" w:hAnsi="Century Gothic"/>
                <w:sz w:val="20"/>
                <w:szCs w:val="20"/>
              </w:rPr>
              <w:t>20 / 21</w:t>
            </w:r>
          </w:p>
        </w:tc>
      </w:tr>
    </w:tbl>
    <w:p w:rsidR="006A35F4" w:rsidRPr="006A35F4" w:rsidRDefault="006A35F4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</w:p>
    <w:p w:rsidR="006A35F4" w:rsidRPr="006A35F4" w:rsidRDefault="006A35F4" w:rsidP="006A35F4">
      <w:pPr>
        <w:pStyle w:val="NormalWeb"/>
        <w:shd w:val="clear" w:color="auto" w:fill="FFFFFF"/>
        <w:spacing w:after="0"/>
        <w:ind w:right="-733"/>
        <w:rPr>
          <w:rFonts w:ascii="Century Gothic" w:hAnsi="Century Gothic" w:cstheme="minorHAnsi"/>
          <w:b/>
          <w:caps/>
          <w:sz w:val="20"/>
          <w:szCs w:val="20"/>
          <w:lang w:val="en"/>
        </w:rPr>
      </w:pPr>
      <w:r w:rsidRPr="006A35F4">
        <w:rPr>
          <w:rFonts w:ascii="Century Gothic" w:hAnsi="Century Gothic" w:cstheme="minorHAnsi"/>
          <w:b/>
          <w:caps/>
          <w:sz w:val="20"/>
          <w:szCs w:val="20"/>
          <w:lang w:val="en"/>
        </w:rPr>
        <w:t>All planned procurement activities are subject to revision or cancellation.</w:t>
      </w:r>
    </w:p>
    <w:p w:rsidR="006A35F4" w:rsidRPr="006A35F4" w:rsidRDefault="006A35F4" w:rsidP="006A35F4">
      <w:pPr>
        <w:pStyle w:val="NormalWeb"/>
        <w:shd w:val="clear" w:color="auto" w:fill="FFFFFF"/>
        <w:spacing w:after="0"/>
        <w:ind w:right="-733"/>
        <w:rPr>
          <w:rFonts w:ascii="Century Gothic" w:hAnsi="Century Gothic" w:cstheme="minorHAnsi"/>
          <w:b/>
          <w:caps/>
          <w:sz w:val="20"/>
          <w:szCs w:val="20"/>
          <w:lang w:val="en"/>
        </w:rPr>
      </w:pPr>
      <w:r w:rsidRPr="006A35F4">
        <w:rPr>
          <w:rFonts w:ascii="Century Gothic" w:hAnsi="Century Gothic" w:cstheme="minorHAnsi"/>
          <w:b/>
          <w:caps/>
          <w:sz w:val="20"/>
          <w:szCs w:val="20"/>
          <w:lang w:val="en"/>
        </w:rPr>
        <w:t xml:space="preserve">The information in this Procurement Activity Plan is provided for planning purposes only and it does not present a solicitation or constitute a request for proposal, nor is it a commitment by </w:t>
      </w:r>
      <w:r w:rsidR="00D130F9">
        <w:rPr>
          <w:rFonts w:ascii="Century Gothic" w:hAnsi="Century Gothic" w:cstheme="minorHAnsi"/>
          <w:b/>
          <w:caps/>
          <w:sz w:val="20"/>
          <w:szCs w:val="20"/>
          <w:lang w:val="en"/>
        </w:rPr>
        <w:t xml:space="preserve">portland district health </w:t>
      </w:r>
      <w:r w:rsidRPr="006A35F4">
        <w:rPr>
          <w:rFonts w:ascii="Century Gothic" w:hAnsi="Century Gothic" w:cstheme="minorHAnsi"/>
          <w:b/>
          <w:caps/>
          <w:sz w:val="20"/>
          <w:szCs w:val="20"/>
          <w:lang w:val="en"/>
        </w:rPr>
        <w:t>to purchase the described goods or services.</w:t>
      </w:r>
    </w:p>
    <w:p w:rsidR="00851D5E" w:rsidRPr="006A35F4" w:rsidRDefault="006A35F4" w:rsidP="006A35F4">
      <w:pPr>
        <w:pStyle w:val="NormalWeb"/>
        <w:shd w:val="clear" w:color="auto" w:fill="FFFFFF"/>
        <w:spacing w:before="0" w:beforeAutospacing="0" w:after="0" w:afterAutospacing="0"/>
        <w:ind w:right="-733"/>
        <w:rPr>
          <w:rFonts w:ascii="Century Gothic" w:hAnsi="Century Gothic" w:cstheme="minorHAnsi"/>
          <w:b/>
          <w:caps/>
          <w:sz w:val="20"/>
          <w:szCs w:val="20"/>
          <w:lang w:val="en"/>
        </w:rPr>
      </w:pPr>
      <w:r w:rsidRPr="006A35F4">
        <w:rPr>
          <w:rFonts w:ascii="Century Gothic" w:hAnsi="Century Gothic" w:cstheme="minorHAnsi"/>
          <w:b/>
          <w:caps/>
          <w:sz w:val="20"/>
          <w:szCs w:val="20"/>
          <w:lang w:val="en"/>
        </w:rPr>
        <w:t>There is no obligation to respond to or return any unsolicited bids received</w:t>
      </w:r>
    </w:p>
    <w:p w:rsidR="00851D5E" w:rsidRPr="00851D5E" w:rsidRDefault="00851D5E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b/>
          <w:caps/>
          <w:color w:val="51535C"/>
          <w:sz w:val="20"/>
          <w:szCs w:val="20"/>
          <w:lang w:val="en"/>
        </w:rPr>
      </w:pPr>
    </w:p>
    <w:p w:rsidR="004F6329" w:rsidRPr="00823984" w:rsidRDefault="004F6329"/>
    <w:sectPr w:rsidR="004F6329" w:rsidRPr="00823984" w:rsidSect="007B36AF">
      <w:pgSz w:w="11906" w:h="16838"/>
      <w:pgMar w:top="993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C3E7C"/>
    <w:multiLevelType w:val="hybridMultilevel"/>
    <w:tmpl w:val="055AABAC"/>
    <w:lvl w:ilvl="0" w:tplc="ADC028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84"/>
    <w:rsid w:val="00144BD5"/>
    <w:rsid w:val="001E1D99"/>
    <w:rsid w:val="00262F08"/>
    <w:rsid w:val="003C7106"/>
    <w:rsid w:val="00473EBC"/>
    <w:rsid w:val="004F6329"/>
    <w:rsid w:val="005C1843"/>
    <w:rsid w:val="00665ACE"/>
    <w:rsid w:val="006A35F4"/>
    <w:rsid w:val="006D6B5C"/>
    <w:rsid w:val="007B36AF"/>
    <w:rsid w:val="00823984"/>
    <w:rsid w:val="00851D5E"/>
    <w:rsid w:val="00B24CB9"/>
    <w:rsid w:val="00BF635C"/>
    <w:rsid w:val="00D130F9"/>
    <w:rsid w:val="00D60FB4"/>
    <w:rsid w:val="00E21155"/>
    <w:rsid w:val="00E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CCE0B9-F225-444F-BEB8-CC31D19F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5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2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8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8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2319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90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56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9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29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PV Word and Excel Theme">
  <a:themeElements>
    <a:clrScheme name="HPV Theme">
      <a:dk1>
        <a:srgbClr val="5D0F68"/>
      </a:dk1>
      <a:lt1>
        <a:srgbClr val="FFFFFF"/>
      </a:lt1>
      <a:dk2>
        <a:srgbClr val="77AE99"/>
      </a:dk2>
      <a:lt2>
        <a:srgbClr val="FFFFFF"/>
      </a:lt2>
      <a:accent1>
        <a:srgbClr val="415968"/>
      </a:accent1>
      <a:accent2>
        <a:srgbClr val="CACEC2"/>
      </a:accent2>
      <a:accent3>
        <a:srgbClr val="4D917B"/>
      </a:accent3>
      <a:accent4>
        <a:srgbClr val="F5E882"/>
      </a:accent4>
      <a:accent5>
        <a:srgbClr val="26BCD7"/>
      </a:accent5>
      <a:accent6>
        <a:srgbClr val="FBAF5F"/>
      </a:accent6>
      <a:hlink>
        <a:srgbClr val="5D0F68"/>
      </a:hlink>
      <a:folHlink>
        <a:srgbClr val="7DA6D8"/>
      </a:folHlink>
    </a:clrScheme>
    <a:fontScheme name="HPV Fonts">
      <a:majorFont>
        <a:latin typeface="Cambr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Purchasing Victoria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Lacchiana</dc:creator>
  <cp:lastModifiedBy>Rachel N. Stoneman</cp:lastModifiedBy>
  <cp:revision>2</cp:revision>
  <dcterms:created xsi:type="dcterms:W3CDTF">2021-03-09T04:13:00Z</dcterms:created>
  <dcterms:modified xsi:type="dcterms:W3CDTF">2021-03-09T04:13:00Z</dcterms:modified>
</cp:coreProperties>
</file>